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rPr>
          <w:rFonts w:ascii="CG Times" w:cs="CG Times" w:eastAsia="CG Times" w:hAnsi="CG Times"/>
          <w:sz w:val="24"/>
          <w:szCs w:val="24"/>
        </w:rPr>
      </w:pPr>
      <w:r w:rsidDel="00000000" w:rsidR="00000000" w:rsidRPr="00000000">
        <w:rPr>
          <w:rFonts w:ascii="CG Times" w:cs="CG Times" w:eastAsia="CG Times" w:hAnsi="CG Times"/>
          <w:sz w:val="24"/>
          <w:szCs w:val="24"/>
          <w:rtl w:val="0"/>
        </w:rPr>
        <w:t xml:space="preserve">8. 價值獲取設計</w:t>
      </w:r>
    </w:p>
    <w:p w:rsidR="00000000" w:rsidDel="00000000" w:rsidP="00000000" w:rsidRDefault="00000000" w:rsidRPr="00000000" w14:paraId="00000002">
      <w:pPr>
        <w:widowControl w:val="0"/>
        <w:spacing w:line="360" w:lineRule="auto"/>
        <w:ind w:left="720" w:firstLine="0"/>
        <w:rPr>
          <w:rFonts w:ascii="CG Times" w:cs="CG Times" w:eastAsia="CG Times" w:hAnsi="CG Times"/>
          <w:sz w:val="24"/>
          <w:szCs w:val="24"/>
        </w:rPr>
      </w:pPr>
      <w:r w:rsidDel="00000000" w:rsidR="00000000" w:rsidRPr="00000000">
        <w:rPr>
          <w:rFonts w:ascii="CG Times" w:cs="CG Times" w:eastAsia="CG Times" w:hAnsi="CG Times"/>
          <w:sz w:val="24"/>
          <w:szCs w:val="24"/>
          <w:rtl w:val="0"/>
        </w:rPr>
        <w:t xml:space="preserve">8.1 營收流設計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left"/>
        <w:rPr>
          <w:rFonts w:ascii="CG Times" w:cs="CG Times" w:eastAsia="CG Times" w:hAnsi="CG Times"/>
          <w:color w:val="cc0000"/>
          <w:sz w:val="24"/>
          <w:szCs w:val="24"/>
          <w:u w:val="single"/>
        </w:rPr>
      </w:pPr>
      <w:r w:rsidDel="00000000" w:rsidR="00000000" w:rsidRPr="00000000">
        <w:rPr>
          <w:rFonts w:ascii="CG Times" w:cs="CG Times" w:eastAsia="CG Times" w:hAnsi="CG Times"/>
          <w:color w:val="cc0000"/>
          <w:sz w:val="24"/>
          <w:szCs w:val="24"/>
          <w:rtl w:val="0"/>
        </w:rPr>
        <w:t xml:space="preserve">參考：</w:t>
      </w:r>
      <w:hyperlink r:id="rId6">
        <w:r w:rsidDel="00000000" w:rsidR="00000000" w:rsidRPr="00000000">
          <w:rPr>
            <w:rFonts w:ascii="CG Times" w:cs="CG Times" w:eastAsia="CG Times" w:hAnsi="CG Times"/>
            <w:color w:val="cc0000"/>
            <w:sz w:val="24"/>
            <w:szCs w:val="24"/>
            <w:u w:val="single"/>
            <w:rtl w:val="0"/>
          </w:rPr>
          <w:t xml:space="preserve">你說的是營運模式還是營收模式？ – Novapoints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line="360" w:lineRule="auto"/>
        <w:ind w:left="720" w:firstLine="0"/>
        <w:rPr>
          <w:rFonts w:ascii="CG Times" w:cs="CG Times" w:eastAsia="CG Times" w:hAnsi="CG Times"/>
          <w:color w:val="cc0000"/>
          <w:sz w:val="24"/>
          <w:szCs w:val="24"/>
        </w:rPr>
      </w:pPr>
      <w:r w:rsidDel="00000000" w:rsidR="00000000" w:rsidRPr="00000000">
        <w:rPr>
          <w:rFonts w:ascii="CG Times" w:cs="CG Times" w:eastAsia="CG Times" w:hAnsi="CG Times"/>
          <w:color w:val="cc0000"/>
          <w:sz w:val="24"/>
          <w:szCs w:val="24"/>
          <w:rtl w:val="0"/>
        </w:rPr>
        <w:t xml:space="preserve">商業模式創新的四種方法 &gt; 改變收入模式：</w:t>
      </w:r>
      <w:hyperlink r:id="rId7">
        <w:r w:rsidDel="00000000" w:rsidR="00000000" w:rsidRPr="00000000">
          <w:rPr>
            <w:rFonts w:ascii="CG Times" w:cs="CG Times" w:eastAsia="CG Times" w:hAnsi="CG Times"/>
            <w:color w:val="cc0000"/>
            <w:sz w:val="24"/>
            <w:szCs w:val="24"/>
            <w:u w:val="single"/>
            <w:rtl w:val="0"/>
          </w:rPr>
          <w:t xml:space="preserve">商業模式創新 - MBA智库百科 (mbalib.com)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360" w:lineRule="auto"/>
        <w:ind w:left="720" w:firstLine="0"/>
        <w:rPr>
          <w:rFonts w:ascii="CG Times" w:cs="CG Times" w:eastAsia="CG Times" w:hAnsi="CG Time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ind w:left="720" w:firstLine="0"/>
        <w:rPr>
          <w:rFonts w:ascii="CG Times" w:cs="CG Times" w:eastAsia="CG Times" w:hAnsi="CG Times"/>
          <w:sz w:val="24"/>
          <w:szCs w:val="24"/>
        </w:rPr>
      </w:pPr>
      <w:r w:rsidDel="00000000" w:rsidR="00000000" w:rsidRPr="00000000">
        <w:rPr>
          <w:rFonts w:ascii="CG Times" w:cs="CG Times" w:eastAsia="CG Times" w:hAnsi="CG Times"/>
          <w:sz w:val="24"/>
          <w:szCs w:val="24"/>
          <w:rtl w:val="0"/>
        </w:rPr>
        <w:t xml:space="preserve">8.2 定價策略與商業實驗</w:t>
      </w:r>
    </w:p>
    <w:p w:rsidR="00000000" w:rsidDel="00000000" w:rsidP="00000000" w:rsidRDefault="00000000" w:rsidRPr="00000000" w14:paraId="00000007">
      <w:pPr>
        <w:widowControl w:val="0"/>
        <w:spacing w:line="360" w:lineRule="auto"/>
        <w:ind w:left="720" w:firstLine="0"/>
        <w:rPr>
          <w:rFonts w:ascii="CG Times" w:cs="CG Times" w:eastAsia="CG Times" w:hAnsi="CG Times"/>
          <w:color w:val="cc0000"/>
          <w:sz w:val="24"/>
          <w:szCs w:val="24"/>
        </w:rPr>
      </w:pPr>
      <w:r w:rsidDel="00000000" w:rsidR="00000000" w:rsidRPr="00000000">
        <w:rPr>
          <w:rFonts w:ascii="CG Times" w:cs="CG Times" w:eastAsia="CG Times" w:hAnsi="CG Times"/>
          <w:color w:val="cc0000"/>
          <w:sz w:val="24"/>
          <w:szCs w:val="24"/>
          <w:rtl w:val="0"/>
        </w:rPr>
        <w:t xml:space="preserve">參考：</w:t>
      </w:r>
      <w:hyperlink r:id="rId8">
        <w:r w:rsidDel="00000000" w:rsidR="00000000" w:rsidRPr="00000000">
          <w:rPr>
            <w:rFonts w:ascii="CG Times" w:cs="CG Times" w:eastAsia="CG Times" w:hAnsi="CG Times"/>
            <w:color w:val="1155cc"/>
            <w:sz w:val="24"/>
            <w:szCs w:val="24"/>
            <w:u w:val="single"/>
            <w:rtl w:val="0"/>
          </w:rPr>
          <w:t xml:space="preserve">CH8 商業實踐與驗證</w:t>
        </w:r>
      </w:hyperlink>
      <w:r w:rsidDel="00000000" w:rsidR="00000000" w:rsidRPr="00000000">
        <w:rPr>
          <w:rFonts w:ascii="CG Times" w:cs="CG Times" w:eastAsia="CG Times" w:hAnsi="CG Times"/>
          <w:color w:val="cc0000"/>
          <w:sz w:val="24"/>
          <w:szCs w:val="24"/>
          <w:rtl w:val="0"/>
        </w:rPr>
        <w:t xml:space="preserve"> &gt; 產品定價設計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ind w:left="720" w:firstLine="0"/>
        <w:rPr>
          <w:rFonts w:ascii="CG Times" w:cs="CG Times" w:eastAsia="CG Times" w:hAnsi="CG Time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line="360" w:lineRule="auto"/>
        <w:ind w:left="720" w:firstLine="0"/>
        <w:rPr>
          <w:rFonts w:ascii="CG Times" w:cs="CG Times" w:eastAsia="CG Times" w:hAnsi="CG Times"/>
          <w:sz w:val="24"/>
          <w:szCs w:val="24"/>
        </w:rPr>
      </w:pPr>
      <w:r w:rsidDel="00000000" w:rsidR="00000000" w:rsidRPr="00000000">
        <w:rPr>
          <w:rFonts w:ascii="CG Times" w:cs="CG Times" w:eastAsia="CG Times" w:hAnsi="CG Times"/>
          <w:sz w:val="24"/>
          <w:szCs w:val="24"/>
          <w:rtl w:val="0"/>
        </w:rPr>
        <w:t xml:space="preserve">8.3 成本結構設計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ind w:left="720" w:firstLine="0"/>
        <w:rPr>
          <w:rFonts w:ascii="CG Times" w:cs="CG Times" w:eastAsia="CG Times" w:hAnsi="CG Times"/>
          <w:color w:val="cc0000"/>
          <w:sz w:val="24"/>
          <w:szCs w:val="24"/>
        </w:rPr>
      </w:pPr>
      <w:r w:rsidDel="00000000" w:rsidR="00000000" w:rsidRPr="00000000">
        <w:rPr>
          <w:rFonts w:ascii="CG Times" w:cs="CG Times" w:eastAsia="CG Times" w:hAnsi="CG Times"/>
          <w:color w:val="cc0000"/>
          <w:sz w:val="24"/>
          <w:szCs w:val="24"/>
          <w:rtl w:val="0"/>
        </w:rPr>
        <w:t xml:space="preserve">參考：CH8 商業實踐與驗證 &gt; 成本驗證理論、成本驗證工具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ind w:left="720" w:firstLine="0"/>
        <w:rPr>
          <w:rFonts w:ascii="CG Times" w:cs="CG Times" w:eastAsia="CG Times" w:hAnsi="CG Time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line="360" w:lineRule="auto"/>
        <w:ind w:left="720" w:firstLine="0"/>
        <w:rPr>
          <w:rFonts w:ascii="CG Times" w:cs="CG Times" w:eastAsia="CG Times" w:hAnsi="CG Times"/>
          <w:sz w:val="24"/>
          <w:szCs w:val="24"/>
        </w:rPr>
      </w:pPr>
      <w:r w:rsidDel="00000000" w:rsidR="00000000" w:rsidRPr="00000000">
        <w:rPr>
          <w:rFonts w:ascii="CG Times" w:cs="CG Times" w:eastAsia="CG Times" w:hAnsi="CG Times"/>
          <w:sz w:val="24"/>
          <w:szCs w:val="24"/>
          <w:rtl w:val="0"/>
        </w:rPr>
        <w:t xml:space="preserve">8.4 夥伴與平台設計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ind w:left="720" w:firstLine="0"/>
        <w:rPr>
          <w:rFonts w:ascii="CG Times" w:cs="CG Times" w:eastAsia="CG Times" w:hAnsi="CG Times"/>
          <w:color w:val="cc0000"/>
          <w:sz w:val="24"/>
          <w:szCs w:val="24"/>
        </w:rPr>
      </w:pPr>
      <w:r w:rsidDel="00000000" w:rsidR="00000000" w:rsidRPr="00000000">
        <w:rPr>
          <w:rFonts w:ascii="CG Times" w:cs="CG Times" w:eastAsia="CG Times" w:hAnsi="CG Times"/>
          <w:color w:val="cc0000"/>
          <w:sz w:val="24"/>
          <w:szCs w:val="24"/>
          <w:rtl w:val="0"/>
        </w:rPr>
        <w:t xml:space="preserve">一、把金老師的連結 </w:t>
      </w:r>
      <w:hyperlink r:id="rId9">
        <w:r w:rsidDel="00000000" w:rsidR="00000000" w:rsidRPr="00000000">
          <w:rPr>
            <w:rFonts w:ascii="CG Times" w:cs="CG Times" w:eastAsia="CG Times" w:hAnsi="CG Times"/>
            <w:color w:val="1155cc"/>
            <w:sz w:val="24"/>
            <w:szCs w:val="24"/>
            <w:u w:val="single"/>
            <w:rtl w:val="0"/>
          </w:rPr>
          <w:t xml:space="preserve">https://morethandigital.info/en/platform-business-model-explained/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line="360" w:lineRule="auto"/>
        <w:ind w:left="720" w:firstLine="0"/>
        <w:rPr>
          <w:rFonts w:ascii="CG Times" w:cs="CG Times" w:eastAsia="CG Times" w:hAnsi="CG Times"/>
          <w:color w:val="cc0000"/>
          <w:sz w:val="24"/>
          <w:szCs w:val="24"/>
        </w:rPr>
      </w:pPr>
      <w:r w:rsidDel="00000000" w:rsidR="00000000" w:rsidRPr="00000000">
        <w:rPr>
          <w:rFonts w:ascii="CG Times" w:cs="CG Times" w:eastAsia="CG Times" w:hAnsi="CG Times"/>
          <w:color w:val="cc0000"/>
          <w:sz w:val="24"/>
          <w:szCs w:val="24"/>
          <w:rtl w:val="0"/>
        </w:rPr>
        <w:t xml:space="preserve">丟到 GPT，產生大概的頁面架構摘要(算是</w:t>
      </w:r>
      <w:r w:rsidDel="00000000" w:rsidR="00000000" w:rsidRPr="00000000">
        <w:rPr>
          <w:rFonts w:ascii="CG Times" w:cs="CG Times" w:eastAsia="CG Times" w:hAnsi="CG Times"/>
          <w:b w:val="1"/>
          <w:color w:val="cc0000"/>
          <w:sz w:val="24"/>
          <w:szCs w:val="24"/>
          <w:rtl w:val="0"/>
        </w:rPr>
        <w:t xml:space="preserve">前言</w:t>
      </w:r>
      <w:r w:rsidDel="00000000" w:rsidR="00000000" w:rsidRPr="00000000">
        <w:rPr>
          <w:rFonts w:ascii="CG Times" w:cs="CG Times" w:eastAsia="CG Times" w:hAnsi="CG Times"/>
          <w:color w:val="cc0000"/>
          <w:sz w:val="24"/>
          <w:szCs w:val="24"/>
          <w:rtl w:val="0"/>
        </w:rPr>
        <w:t xml:space="preserve">，就</w:t>
      </w:r>
      <w:r w:rsidDel="00000000" w:rsidR="00000000" w:rsidRPr="00000000">
        <w:rPr>
          <w:rFonts w:ascii="CG Times" w:cs="CG Times" w:eastAsia="CG Times" w:hAnsi="CG Times"/>
          <w:color w:val="cc0000"/>
          <w:sz w:val="24"/>
          <w:szCs w:val="24"/>
          <w:rtl w:val="0"/>
        </w:rPr>
        <w:t xml:space="preserve">大概介紹一下) 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ind w:left="720" w:firstLine="0"/>
        <w:rPr>
          <w:rFonts w:ascii="CG Times" w:cs="CG Times" w:eastAsia="CG Times" w:hAnsi="CG Times"/>
          <w:color w:val="cc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360" w:lineRule="auto"/>
        <w:ind w:left="720" w:firstLine="0"/>
        <w:rPr>
          <w:rFonts w:ascii="CG Times" w:cs="CG Times" w:eastAsia="CG Times" w:hAnsi="CG Times"/>
          <w:color w:val="cc0000"/>
          <w:sz w:val="24"/>
          <w:szCs w:val="24"/>
        </w:rPr>
      </w:pPr>
      <w:r w:rsidDel="00000000" w:rsidR="00000000" w:rsidRPr="00000000">
        <w:rPr>
          <w:rFonts w:ascii="CG Times" w:cs="CG Times" w:eastAsia="CG Times" w:hAnsi="CG Times"/>
          <w:color w:val="cc0000"/>
          <w:sz w:val="24"/>
          <w:szCs w:val="24"/>
          <w:rtl w:val="0"/>
        </w:rPr>
        <w:t xml:space="preserve">二、把這張圖</w:t>
      </w:r>
    </w:p>
    <w:p w:rsidR="00000000" w:rsidDel="00000000" w:rsidP="00000000" w:rsidRDefault="00000000" w:rsidRPr="00000000" w14:paraId="00000011">
      <w:pPr>
        <w:widowControl w:val="0"/>
        <w:spacing w:line="360" w:lineRule="auto"/>
        <w:ind w:left="720" w:firstLine="0"/>
        <w:rPr>
          <w:rFonts w:ascii="CG Times" w:cs="CG Times" w:eastAsia="CG Times" w:hAnsi="CG Times"/>
          <w:color w:val="cc0000"/>
          <w:sz w:val="24"/>
          <w:szCs w:val="24"/>
        </w:rPr>
      </w:pPr>
      <w:r w:rsidDel="00000000" w:rsidR="00000000" w:rsidRPr="00000000">
        <w:rPr>
          <w:rFonts w:ascii="CG Times" w:cs="CG Times" w:eastAsia="CG Times" w:hAnsi="CG Times"/>
          <w:color w:val="cc0000"/>
          <w:sz w:val="24"/>
          <w:szCs w:val="24"/>
        </w:rPr>
        <w:drawing>
          <wp:inline distB="114300" distT="114300" distL="114300" distR="114300">
            <wp:extent cx="5731200" cy="4038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038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line="360" w:lineRule="auto"/>
        <w:ind w:left="720" w:firstLine="0"/>
        <w:rPr>
          <w:rFonts w:ascii="CG Times" w:cs="CG Times" w:eastAsia="CG Times" w:hAnsi="CG Times"/>
          <w:color w:val="cc0000"/>
          <w:sz w:val="24"/>
          <w:szCs w:val="24"/>
        </w:rPr>
      </w:pPr>
      <w:r w:rsidDel="00000000" w:rsidR="00000000" w:rsidRPr="00000000">
        <w:rPr>
          <w:rFonts w:ascii="CG Times" w:cs="CG Times" w:eastAsia="CG Times" w:hAnsi="CG Times"/>
          <w:color w:val="cc0000"/>
          <w:sz w:val="24"/>
          <w:szCs w:val="24"/>
          <w:rtl w:val="0"/>
        </w:rPr>
        <w:t xml:space="preserve">丟到 </w:t>
      </w:r>
      <w:hyperlink r:id="rId11">
        <w:r w:rsidDel="00000000" w:rsidR="00000000" w:rsidRPr="00000000">
          <w:rPr>
            <w:rFonts w:ascii="CG Times" w:cs="CG Times" w:eastAsia="CG Times" w:hAnsi="CG Times"/>
            <w:color w:val="1155cc"/>
            <w:sz w:val="24"/>
            <w:szCs w:val="24"/>
            <w:u w:val="single"/>
            <w:rtl w:val="0"/>
          </w:rPr>
          <w:t xml:space="preserve">https://bard.google.com/chat/</w:t>
        </w:r>
      </w:hyperlink>
      <w:r w:rsidDel="00000000" w:rsidR="00000000" w:rsidRPr="00000000">
        <w:rPr>
          <w:rFonts w:ascii="CG Times" w:cs="CG Times" w:eastAsia="CG Times" w:hAnsi="CG Times"/>
          <w:color w:val="cc0000"/>
          <w:sz w:val="24"/>
          <w:szCs w:val="24"/>
          <w:rtl w:val="0"/>
        </w:rPr>
        <w:br w:type="textWrapping"/>
        <w:t xml:space="preserve">prompt：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2"/>
        </w:numPr>
        <w:spacing w:line="360" w:lineRule="auto"/>
        <w:ind w:left="1440" w:hanging="360"/>
        <w:rPr>
          <w:rFonts w:ascii="CG Times" w:cs="CG Times" w:eastAsia="CG Times" w:hAnsi="CG Times"/>
          <w:color w:val="cc0000"/>
          <w:sz w:val="24"/>
          <w:szCs w:val="24"/>
          <w:u w:val="none"/>
        </w:rPr>
      </w:pPr>
      <w:r w:rsidDel="00000000" w:rsidR="00000000" w:rsidRPr="00000000">
        <w:rPr>
          <w:rFonts w:ascii="CG Times" w:cs="CG Times" w:eastAsia="CG Times" w:hAnsi="CG Times"/>
          <w:color w:val="cc0000"/>
          <w:sz w:val="24"/>
          <w:szCs w:val="24"/>
          <w:rtl w:val="0"/>
        </w:rPr>
        <w:t xml:space="preserve">請詳細的解釋這張圖矩陣中的每一行、每一列，以及其架構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2"/>
        </w:numPr>
        <w:spacing w:line="360" w:lineRule="auto"/>
        <w:ind w:left="1440" w:hanging="360"/>
        <w:rPr>
          <w:rFonts w:ascii="CG Times" w:cs="CG Times" w:eastAsia="CG Times" w:hAnsi="CG Times"/>
          <w:color w:val="cc0000"/>
          <w:sz w:val="24"/>
          <w:szCs w:val="24"/>
        </w:rPr>
      </w:pPr>
      <w:r w:rsidDel="00000000" w:rsidR="00000000" w:rsidRPr="00000000">
        <w:rPr>
          <w:rFonts w:ascii="CG Times" w:cs="CG Times" w:eastAsia="CG Times" w:hAnsi="CG Times"/>
          <w:color w:val="cc0000"/>
          <w:sz w:val="24"/>
          <w:szCs w:val="24"/>
          <w:rtl w:val="0"/>
        </w:rPr>
        <w:t xml:space="preserve">請以 google (</w:t>
      </w:r>
      <w:r w:rsidDel="00000000" w:rsidR="00000000" w:rsidRPr="00000000">
        <w:rPr>
          <w:rFonts w:ascii="CG Times" w:cs="CG Times" w:eastAsia="CG Times" w:hAnsi="CG Times"/>
          <w:b w:val="1"/>
          <w:color w:val="cc0000"/>
          <w:sz w:val="24"/>
          <w:szCs w:val="24"/>
          <w:u w:val="single"/>
          <w:rtl w:val="0"/>
        </w:rPr>
        <w:t xml:space="preserve">或妳自己喜歡、比較了解的公司</w:t>
      </w:r>
      <w:r w:rsidDel="00000000" w:rsidR="00000000" w:rsidRPr="00000000">
        <w:rPr>
          <w:rFonts w:ascii="CG Times" w:cs="CG Times" w:eastAsia="CG Times" w:hAnsi="CG Times"/>
          <w:color w:val="cc0000"/>
          <w:sz w:val="24"/>
          <w:szCs w:val="24"/>
          <w:rtl w:val="0"/>
        </w:rPr>
        <w:t xml:space="preserve">) 為例，撰寫一個相同架構的矩陣</w:t>
      </w:r>
    </w:p>
    <w:p w:rsidR="00000000" w:rsidDel="00000000" w:rsidP="00000000" w:rsidRDefault="00000000" w:rsidRPr="00000000" w14:paraId="00000015">
      <w:pPr>
        <w:widowControl w:val="0"/>
        <w:numPr>
          <w:ilvl w:val="1"/>
          <w:numId w:val="2"/>
        </w:numPr>
        <w:spacing w:line="360" w:lineRule="auto"/>
        <w:ind w:left="2160" w:hanging="360"/>
        <w:rPr>
          <w:rFonts w:ascii="CG Times" w:cs="CG Times" w:eastAsia="CG Times" w:hAnsi="CG Times"/>
          <w:color w:val="cc0000"/>
          <w:sz w:val="24"/>
          <w:szCs w:val="24"/>
          <w:u w:val="none"/>
        </w:rPr>
      </w:pPr>
      <w:r w:rsidDel="00000000" w:rsidR="00000000" w:rsidRPr="00000000">
        <w:rPr>
          <w:rFonts w:ascii="CG Times" w:cs="CG Times" w:eastAsia="CG Times" w:hAnsi="CG Times"/>
          <w:color w:val="cc0000"/>
          <w:sz w:val="24"/>
          <w:szCs w:val="24"/>
          <w:rtl w:val="0"/>
        </w:rPr>
        <w:t xml:space="preserve">參考回答 (</w:t>
      </w:r>
      <w:r w:rsidDel="00000000" w:rsidR="00000000" w:rsidRPr="00000000">
        <w:rPr>
          <w:rFonts w:ascii="CG Times" w:cs="CG Times" w:eastAsia="CG Times" w:hAnsi="CG Times"/>
          <w:b w:val="1"/>
          <w:color w:val="cc0000"/>
          <w:sz w:val="24"/>
          <w:szCs w:val="24"/>
          <w:rtl w:val="0"/>
        </w:rPr>
        <w:t xml:space="preserve">我自己下的結果，</w:t>
      </w:r>
      <w:r w:rsidDel="00000000" w:rsidR="00000000" w:rsidRPr="00000000">
        <w:rPr>
          <w:rFonts w:ascii="CG Times" w:cs="CG Times" w:eastAsia="CG Times" w:hAnsi="CG Times"/>
          <w:b w:val="1"/>
          <w:color w:val="cc0000"/>
          <w:sz w:val="24"/>
          <w:szCs w:val="24"/>
          <w:u w:val="single"/>
          <w:rtl w:val="0"/>
        </w:rPr>
        <w:t xml:space="preserve">但可能要再整理表格 + 丟到 GPT 生 what do they bring? / what is in it for them?</w:t>
      </w:r>
      <w:r w:rsidDel="00000000" w:rsidR="00000000" w:rsidRPr="00000000">
        <w:rPr>
          <w:rFonts w:ascii="CG Times" w:cs="CG Times" w:eastAsia="CG Times" w:hAnsi="CG Times"/>
          <w:color w:val="cc0000"/>
          <w:sz w:val="24"/>
          <w:szCs w:val="24"/>
          <w:rtl w:val="0"/>
        </w:rPr>
        <w:t xml:space="preserve">)：</w:t>
      </w:r>
    </w:p>
    <w:p w:rsidR="00000000" w:rsidDel="00000000" w:rsidP="00000000" w:rsidRDefault="00000000" w:rsidRPr="00000000" w14:paraId="00000016">
      <w:pPr>
        <w:widowControl w:val="0"/>
        <w:shd w:fill="ffffff" w:val="clear"/>
        <w:spacing w:after="360" w:before="360" w:line="360" w:lineRule="auto"/>
        <w:ind w:left="2160" w:firstLine="0"/>
        <w:rPr>
          <w:color w:val="cc0000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橫軸：合作夥伴所提供的價值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1"/>
        </w:numPr>
        <w:shd w:fill="ffffff" w:val="clear"/>
        <w:spacing w:after="0" w:afterAutospacing="0" w:before="60" w:line="360" w:lineRule="auto"/>
        <w:ind w:left="2880" w:hanging="360"/>
        <w:rPr>
          <w:color w:val="cc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資源：合作夥伴提供的物質或知識資產，例如設備、技術、人才或知識。</w:t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1"/>
        </w:numPr>
        <w:shd w:fill="ffffff" w:val="clear"/>
        <w:spacing w:after="0" w:afterAutospacing="0" w:before="0" w:beforeAutospacing="0" w:line="360" w:lineRule="auto"/>
        <w:ind w:left="2880" w:hanging="360"/>
        <w:rPr>
          <w:color w:val="cc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銷售渠道：合作夥伴提供的渠道，用於銷售 Google 的產品或服務。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1"/>
        </w:numPr>
        <w:shd w:fill="ffffff" w:val="clear"/>
        <w:spacing w:after="0" w:afterAutospacing="0" w:before="0" w:beforeAutospacing="0" w:line="360" w:lineRule="auto"/>
        <w:ind w:left="2880" w:hanging="360"/>
        <w:rPr>
          <w:color w:val="cc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其他資源：合作夥伴提供的其他資源，例如財務支持、市場進入協助等。</w:t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1"/>
        </w:numPr>
        <w:shd w:fill="ffffff" w:val="clear"/>
        <w:spacing w:after="220" w:before="0" w:beforeAutospacing="0" w:line="360" w:lineRule="auto"/>
        <w:ind w:left="2880" w:hanging="360"/>
        <w:rPr>
          <w:color w:val="cc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€ 其他：合作夥伴提供的其他價值，例如 € 金額或其他非財務價值。</w:t>
      </w:r>
    </w:p>
    <w:p w:rsidR="00000000" w:rsidDel="00000000" w:rsidP="00000000" w:rsidRDefault="00000000" w:rsidRPr="00000000" w14:paraId="0000001B">
      <w:pPr>
        <w:widowControl w:val="0"/>
        <w:shd w:fill="ffffff" w:val="clear"/>
        <w:spacing w:after="360" w:before="360" w:line="360" w:lineRule="auto"/>
        <w:ind w:left="2160" w:firstLine="0"/>
        <w:rPr>
          <w:color w:val="cc0000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縱軸：合作夥伴從合作中獲得的價值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3"/>
        </w:numPr>
        <w:shd w:fill="ffffff" w:val="clear"/>
        <w:spacing w:after="0" w:afterAutospacing="0" w:before="60" w:line="360" w:lineRule="auto"/>
        <w:ind w:left="2880" w:hanging="360"/>
        <w:rPr>
          <w:color w:val="cc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高利潤銷售：合作夥伴從 Google 產品或服務的銷售中獲得高利潤。</w:t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3"/>
        </w:numPr>
        <w:shd w:fill="ffffff" w:val="clear"/>
        <w:spacing w:after="0" w:afterAutospacing="0" w:before="0" w:beforeAutospacing="0" w:line="360" w:lineRule="auto"/>
        <w:ind w:left="2880" w:hanging="360"/>
        <w:rPr>
          <w:color w:val="cc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改善產品或服務：合作夥伴通過與 Google 合作，改善其產品或服務。</w:t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3"/>
        </w:numPr>
        <w:shd w:fill="ffffff" w:val="clear"/>
        <w:spacing w:after="0" w:afterAutospacing="0" w:before="0" w:beforeAutospacing="0" w:line="360" w:lineRule="auto"/>
        <w:ind w:left="2880" w:hanging="360"/>
        <w:rPr>
          <w:color w:val="cc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客戶獲得：合作夥伴通過與 Google 合作，獲得新的客戶。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3"/>
        </w:numPr>
        <w:shd w:fill="ffffff" w:val="clear"/>
        <w:spacing w:after="0" w:afterAutospacing="0" w:before="0" w:beforeAutospacing="0" w:line="360" w:lineRule="auto"/>
        <w:ind w:left="2880" w:hanging="360"/>
        <w:rPr>
          <w:color w:val="cc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節省成本：合作夥伴通過與 Google 合作，節省成本。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3"/>
        </w:numPr>
        <w:shd w:fill="ffffff" w:val="clear"/>
        <w:spacing w:after="220" w:before="0" w:beforeAutospacing="0" w:line="360" w:lineRule="auto"/>
        <w:ind w:left="2880" w:hanging="360"/>
        <w:rPr>
          <w:color w:val="cc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其他價值：合作夥伴從合作中獲得的其他價值。</w:t>
      </w:r>
    </w:p>
    <w:p w:rsidR="00000000" w:rsidDel="00000000" w:rsidP="00000000" w:rsidRDefault="00000000" w:rsidRPr="00000000" w14:paraId="00000021">
      <w:pPr>
        <w:widowControl w:val="0"/>
        <w:shd w:fill="ffffff" w:val="clear"/>
        <w:spacing w:after="360" w:before="360" w:line="360" w:lineRule="auto"/>
        <w:ind w:left="2160" w:firstLine="0"/>
        <w:rPr>
          <w:color w:val="cc0000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具體案例分析</w:t>
      </w:r>
    </w:p>
    <w:p w:rsidR="00000000" w:rsidDel="00000000" w:rsidP="00000000" w:rsidRDefault="00000000" w:rsidRPr="00000000" w14:paraId="00000022">
      <w:pPr>
        <w:widowControl w:val="0"/>
        <w:shd w:fill="ffffff" w:val="clear"/>
        <w:spacing w:after="360" w:before="360" w:line="360" w:lineRule="auto"/>
        <w:ind w:left="2160" w:firstLine="0"/>
        <w:rPr>
          <w:color w:val="cc0000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在圖中，Google 與四個合作夥伴合作：硬體製造商、軟體開發商、廣告商和零售商。</w:t>
      </w:r>
    </w:p>
    <w:p w:rsidR="00000000" w:rsidDel="00000000" w:rsidP="00000000" w:rsidRDefault="00000000" w:rsidRPr="00000000" w14:paraId="00000023">
      <w:pPr>
        <w:widowControl w:val="0"/>
        <w:numPr>
          <w:ilvl w:val="0"/>
          <w:numId w:val="5"/>
        </w:numPr>
        <w:shd w:fill="ffffff" w:val="clear"/>
        <w:spacing w:after="0" w:afterAutospacing="0" w:before="60" w:line="360" w:lineRule="auto"/>
        <w:ind w:left="2880" w:hanging="360"/>
        <w:rPr>
          <w:color w:val="cc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硬體製造商提供硬體產品，例如智能手機、平板電腦和筆記型電腦。Google 與硬體製造商合作，將其軟體和服務嵌入到硬體產品中，從而為硬體製造商帶來高利潤銷售和改善產品或服務的價值。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5"/>
        </w:numPr>
        <w:shd w:fill="ffffff" w:val="clear"/>
        <w:spacing w:after="0" w:afterAutospacing="0" w:before="0" w:beforeAutospacing="0" w:line="360" w:lineRule="auto"/>
        <w:ind w:left="2880" w:hanging="360"/>
        <w:rPr>
          <w:color w:val="cc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軟體開發商提供軟體產品，例如應用程式、遊戲和工具。Google 與軟體開發商合作，將其產品或服務推廣給 Google 的全球用戶，從而為軟體開發商帶來客戶獲得和節省成本的價值。</w:t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5"/>
        </w:numPr>
        <w:shd w:fill="ffffff" w:val="clear"/>
        <w:spacing w:after="0" w:afterAutospacing="0" w:before="0" w:beforeAutospacing="0" w:line="360" w:lineRule="auto"/>
        <w:ind w:left="2880" w:hanging="360"/>
        <w:rPr>
          <w:color w:val="cc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廣告商在 Google 的搜索引擎、廣告網絡和其他平台上投放廣告。Google 與廣告商合作，提供精準的目標定位和效果衡量，從而為廣告商帶來高利潤銷售和改善產品或服務的價值。</w:t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5"/>
        </w:numPr>
        <w:shd w:fill="ffffff" w:val="clear"/>
        <w:spacing w:after="220" w:before="0" w:beforeAutospacing="0" w:line="360" w:lineRule="auto"/>
        <w:ind w:left="2880" w:hanging="360"/>
        <w:rPr>
          <w:color w:val="cc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零售商在線或線下銷售 Google 的產品或服務。Google 與零售商合作，提供渠道銷售和客戶服務，從而為零售商帶來高利潤銷售和其他價值。</w:t>
      </w:r>
    </w:p>
    <w:p w:rsidR="00000000" w:rsidDel="00000000" w:rsidP="00000000" w:rsidRDefault="00000000" w:rsidRPr="00000000" w14:paraId="00000027">
      <w:pPr>
        <w:widowControl w:val="0"/>
        <w:shd w:fill="ffffff" w:val="clear"/>
        <w:spacing w:after="360" w:before="360" w:line="360" w:lineRule="auto"/>
        <w:ind w:left="2160" w:firstLine="0"/>
        <w:rPr>
          <w:color w:val="cc0000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通過利用合作夥伴價值矩陣，Google 能夠分析其合作夥伴的價值，並確定哪些合作夥伴最有價值。這有助於 Google 制定更有效的合作夥伴關係策略，並擴大其業務。</w:t>
      </w:r>
    </w:p>
    <w:p w:rsidR="00000000" w:rsidDel="00000000" w:rsidP="00000000" w:rsidRDefault="00000000" w:rsidRPr="00000000" w14:paraId="00000028">
      <w:pPr>
        <w:widowControl w:val="0"/>
        <w:shd w:fill="ffffff" w:val="clear"/>
        <w:spacing w:after="360" w:before="360" w:line="360" w:lineRule="auto"/>
        <w:ind w:left="2160" w:firstLine="0"/>
        <w:rPr>
          <w:color w:val="cc0000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以下是一些額外的示例：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4"/>
        </w:numPr>
        <w:shd w:fill="ffffff" w:val="clear"/>
        <w:spacing w:after="0" w:afterAutospacing="0" w:before="60" w:line="360" w:lineRule="auto"/>
        <w:ind w:left="2880" w:hanging="360"/>
        <w:rPr>
          <w:color w:val="cc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合作夥伴：政府機構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4"/>
        </w:numPr>
        <w:shd w:fill="ffffff" w:val="clear"/>
        <w:spacing w:after="0" w:afterAutospacing="0" w:before="0" w:beforeAutospacing="0" w:line="360" w:lineRule="auto"/>
        <w:ind w:left="2880" w:hanging="360"/>
        <w:rPr>
          <w:color w:val="cc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合作夥伴所提供的價值：政策支持、人才培訓、基礎設施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4"/>
        </w:numPr>
        <w:shd w:fill="ffffff" w:val="clear"/>
        <w:spacing w:after="0" w:afterAutospacing="0" w:before="0" w:beforeAutospacing="0" w:line="360" w:lineRule="auto"/>
        <w:ind w:left="2880" w:hanging="360"/>
        <w:rPr>
          <w:color w:val="cc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合作夥伴從合作中獲得的價值：解決社會問題、提升公民福祉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4"/>
        </w:numPr>
        <w:shd w:fill="ffffff" w:val="clear"/>
        <w:spacing w:after="0" w:afterAutospacing="0" w:before="0" w:beforeAutospacing="0" w:line="360" w:lineRule="auto"/>
        <w:ind w:left="2880" w:hanging="360"/>
        <w:rPr>
          <w:color w:val="cc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合作夥伴：非營利組織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4"/>
        </w:numPr>
        <w:shd w:fill="ffffff" w:val="clear"/>
        <w:spacing w:after="0" w:afterAutospacing="0" w:before="0" w:beforeAutospacing="0" w:line="360" w:lineRule="auto"/>
        <w:ind w:left="2880" w:hanging="360"/>
        <w:rPr>
          <w:color w:val="cc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合作夥伴所提供的價值：志願者、捐款、社會影響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4"/>
        </w:numPr>
        <w:shd w:fill="ffffff" w:val="clear"/>
        <w:spacing w:after="0" w:afterAutospacing="0" w:before="0" w:beforeAutospacing="0" w:line="360" w:lineRule="auto"/>
        <w:ind w:left="2880" w:hanging="360"/>
        <w:rPr>
          <w:color w:val="cc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合作夥伴從合作中獲得的價值：實現社會目標、提升品牌知名度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4"/>
        </w:numPr>
        <w:shd w:fill="ffffff" w:val="clear"/>
        <w:spacing w:after="0" w:afterAutospacing="0" w:before="0" w:beforeAutospacing="0" w:line="360" w:lineRule="auto"/>
        <w:ind w:left="2880" w:hanging="360"/>
        <w:rPr>
          <w:color w:val="cc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合作夥伴：學術機構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4"/>
        </w:numPr>
        <w:shd w:fill="ffffff" w:val="clear"/>
        <w:spacing w:after="0" w:afterAutospacing="0" w:before="0" w:beforeAutospacing="0" w:line="360" w:lineRule="auto"/>
        <w:ind w:left="2880" w:hanging="360"/>
        <w:rPr>
          <w:color w:val="cc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合作夥伴所提供的價值：研究成果、人才培訓、創新機會</w:t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4"/>
        </w:numPr>
        <w:shd w:fill="ffffff" w:val="clear"/>
        <w:spacing w:after="220" w:before="0" w:beforeAutospacing="0" w:line="360" w:lineRule="auto"/>
        <w:ind w:left="2880" w:hanging="360"/>
        <w:rPr>
          <w:color w:val="cc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合作夥伴從合作中獲得的價值：提升學術地位、獲得資金支持、擴大影響力</w:t>
      </w:r>
    </w:p>
    <w:p w:rsidR="00000000" w:rsidDel="00000000" w:rsidP="00000000" w:rsidRDefault="00000000" w:rsidRPr="00000000" w14:paraId="00000032">
      <w:pPr>
        <w:widowControl w:val="0"/>
        <w:shd w:fill="ffffff" w:val="clear"/>
        <w:spacing w:after="360" w:before="360" w:line="360" w:lineRule="auto"/>
        <w:ind w:left="2160" w:firstLine="0"/>
        <w:rPr>
          <w:rFonts w:ascii="CG Times" w:cs="CG Times" w:eastAsia="CG Times" w:hAnsi="CG Times"/>
          <w:color w:val="cc0000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cc0000"/>
          <w:sz w:val="24"/>
          <w:szCs w:val="24"/>
          <w:rtl w:val="0"/>
        </w:rPr>
        <w:t xml:space="preserve">合作夥伴價值矩陣可以用於任何類型的企業，它可以幫助企業更好地理解其合作夥伴關係的價值，並制定更有效的合作夥伴關係策略。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line="360" w:lineRule="auto"/>
        <w:ind w:left="720" w:firstLine="0"/>
        <w:rPr>
          <w:rFonts w:ascii="CG Times" w:cs="CG Times" w:eastAsia="CG Times" w:hAnsi="CG Time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line="360" w:lineRule="auto"/>
        <w:ind w:left="720" w:firstLine="0"/>
        <w:rPr>
          <w:rFonts w:ascii="CG Times" w:cs="CG Times" w:eastAsia="CG Times" w:hAnsi="CG Times"/>
          <w:color w:val="cc0000"/>
          <w:sz w:val="24"/>
          <w:szCs w:val="24"/>
        </w:rPr>
      </w:pPr>
      <w:r w:rsidDel="00000000" w:rsidR="00000000" w:rsidRPr="00000000">
        <w:rPr>
          <w:rFonts w:ascii="CG Times" w:cs="CG Times" w:eastAsia="CG Times" w:hAnsi="CG Times"/>
          <w:sz w:val="24"/>
          <w:szCs w:val="24"/>
          <w:rtl w:val="0"/>
        </w:rPr>
        <w:t xml:space="preserve">8.5 商業模式驗證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line="360" w:lineRule="auto"/>
        <w:ind w:left="720" w:firstLine="0"/>
        <w:rPr>
          <w:rFonts w:ascii="CG Times" w:cs="CG Times" w:eastAsia="CG Times" w:hAnsi="CG Times"/>
          <w:color w:val="cc0000"/>
          <w:sz w:val="24"/>
          <w:szCs w:val="24"/>
        </w:rPr>
      </w:pPr>
      <w:r w:rsidDel="00000000" w:rsidR="00000000" w:rsidRPr="00000000">
        <w:rPr>
          <w:rFonts w:ascii="CG Times" w:cs="CG Times" w:eastAsia="CG Times" w:hAnsi="CG Times"/>
          <w:color w:val="cc0000"/>
          <w:sz w:val="24"/>
          <w:szCs w:val="24"/>
          <w:rtl w:val="0"/>
        </w:rPr>
        <w:t xml:space="preserve">參考：CH8 商業實踐與驗證 &gt;商業模式診斷想像，前面可以濃縮，主要是"商業模式操作案例” 這個章節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G Time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TW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bard.google.com/chat/" TargetMode="External"/><Relationship Id="rId10" Type="http://schemas.openxmlformats.org/officeDocument/2006/relationships/image" Target="media/image1.png"/><Relationship Id="rId9" Type="http://schemas.openxmlformats.org/officeDocument/2006/relationships/hyperlink" Target="https://morethandigital.info/en/platform-business-model-explained/" TargetMode="External"/><Relationship Id="rId5" Type="http://schemas.openxmlformats.org/officeDocument/2006/relationships/styles" Target="styles.xml"/><Relationship Id="rId6" Type="http://schemas.openxmlformats.org/officeDocument/2006/relationships/hyperlink" Target="https://novapoints.com/2020/03/02/revenue_and_business_model/" TargetMode="External"/><Relationship Id="rId7" Type="http://schemas.openxmlformats.org/officeDocument/2006/relationships/hyperlink" Target="https://wiki.mbalib.com/zh-tw/%E5%95%86%E4%B8%9A%E6%A8%A1%E5%BC%8F%E5%88%9B%E6%96%B0" TargetMode="External"/><Relationship Id="rId8" Type="http://schemas.openxmlformats.org/officeDocument/2006/relationships/hyperlink" Target="https://docs.google.com/document/d/1r6pu9yNDnn3jDaeg3PasRzuvDcMfRqPeuRy_S358cR4/edit#heading=h.9suh4pd18lnf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GTimes-regular.ttf"/><Relationship Id="rId2" Type="http://schemas.openxmlformats.org/officeDocument/2006/relationships/font" Target="fonts/CGTimes-bold.ttf"/><Relationship Id="rId3" Type="http://schemas.openxmlformats.org/officeDocument/2006/relationships/font" Target="fonts/CGTimes-italic.ttf"/><Relationship Id="rId4" Type="http://schemas.openxmlformats.org/officeDocument/2006/relationships/font" Target="fonts/CGTime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