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ind w:left="840" w:hanging="4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</w:t>
        <w:tab/>
      </w:r>
      <w:r w:rsidDel="00000000" w:rsidR="00000000" w:rsidRPr="00000000">
        <w:rPr>
          <w:rFonts w:ascii="Gungsuh" w:cs="Gungsuh" w:eastAsia="Gungsuh" w:hAnsi="Gungsuh"/>
          <w:sz w:val="24"/>
          <w:szCs w:val="24"/>
          <w:rtl w:val="0"/>
        </w:rPr>
        <w:t xml:space="preserve">商業創新診斷與評估</w:t>
      </w:r>
    </w:p>
    <w:p w:rsidR="00000000" w:rsidDel="00000000" w:rsidP="00000000" w:rsidRDefault="00000000" w:rsidRPr="00000000" w14:paraId="00000002">
      <w:pPr>
        <w:spacing w:line="360" w:lineRule="auto"/>
        <w:ind w:left="1020" w:hanging="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4.1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Fonts w:ascii="Gungsuh" w:cs="Gungsuh" w:eastAsia="Gungsuh" w:hAnsi="Gungsuh"/>
          <w:sz w:val="24"/>
          <w:szCs w:val="24"/>
          <w:rtl w:val="0"/>
        </w:rPr>
        <w:t xml:space="preserve">商業盤點與診斷</w:t>
      </w:r>
    </w:p>
    <w:p w:rsidR="00000000" w:rsidDel="00000000" w:rsidP="00000000" w:rsidRDefault="00000000" w:rsidRPr="00000000" w14:paraId="00000003">
      <w:pPr>
        <w:spacing w:line="360" w:lineRule="auto"/>
        <w:ind w:left="1440" w:hanging="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4.1.1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Gungsuh" w:cs="Gungsuh" w:eastAsia="Gungsuh" w:hAnsi="Gungsuh"/>
          <w:sz w:val="24"/>
          <w:szCs w:val="24"/>
          <w:rtl w:val="0"/>
        </w:rPr>
        <w:t xml:space="preserve">商業現況與定位評估</w:t>
      </w:r>
    </w:p>
    <w:p w:rsidR="00000000" w:rsidDel="00000000" w:rsidP="00000000" w:rsidRDefault="00000000" w:rsidRPr="00000000" w14:paraId="00000004">
      <w:pPr>
        <w:spacing w:line="360" w:lineRule="auto"/>
        <w:ind w:left="1440" w:hanging="20"/>
        <w:rPr>
          <w:rFonts w:ascii="Times New Roman" w:cs="Times New Roman" w:eastAsia="Times New Roman" w:hAnsi="Times New Roman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</w:r>
      <w:r w:rsidDel="00000000" w:rsidR="00000000" w:rsidRPr="00000000">
        <w:rPr>
          <w:rFonts w:ascii="Gungsuh" w:cs="Gungsuh" w:eastAsia="Gungsuh" w:hAnsi="Gungsuh"/>
          <w:color w:val="ff0000"/>
          <w:sz w:val="24"/>
          <w:szCs w:val="24"/>
          <w:rtl w:val="0"/>
        </w:rPr>
        <w:t xml:space="preserve">chatgpt關鍵字：論商業現況與定位評估對於企業的重要性</w:t>
      </w:r>
    </w:p>
    <w:p w:rsidR="00000000" w:rsidDel="00000000" w:rsidP="00000000" w:rsidRDefault="00000000" w:rsidRPr="00000000" w14:paraId="00000005">
      <w:pPr>
        <w:spacing w:line="360" w:lineRule="auto"/>
        <w:ind w:left="1440" w:hanging="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4.1.2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Gungsuh" w:cs="Gungsuh" w:eastAsia="Gungsuh" w:hAnsi="Gungsuh"/>
          <w:sz w:val="24"/>
          <w:szCs w:val="24"/>
          <w:rtl w:val="0"/>
        </w:rPr>
        <w:t xml:space="preserve">市場參與者</w:t>
      </w:r>
      <w:r w:rsidDel="00000000" w:rsidR="00000000" w:rsidRPr="00000000">
        <w:rPr>
          <w:sz w:val="24"/>
          <w:szCs w:val="24"/>
          <w:rtl w:val="0"/>
        </w:rPr>
        <w:t xml:space="preserve">(4C)</w:t>
      </w:r>
    </w:p>
    <w:p w:rsidR="00000000" w:rsidDel="00000000" w:rsidP="00000000" w:rsidRDefault="00000000" w:rsidRPr="00000000" w14:paraId="00000006">
      <w:pPr>
        <w:spacing w:line="360" w:lineRule="auto"/>
        <w:ind w:left="238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Gungsuh" w:cs="Gungsuh" w:eastAsia="Gungsuh" w:hAnsi="Gungsuh"/>
          <w:sz w:val="24"/>
          <w:szCs w:val="24"/>
          <w:rtl w:val="0"/>
        </w:rPr>
        <w:t xml:space="preserve">企業、顧客、競爭者、互補者</w:t>
        <w:br w:type="textWrapping"/>
      </w:r>
      <w:r w:rsidDel="00000000" w:rsidR="00000000" w:rsidRPr="00000000">
        <w:rPr>
          <w:rFonts w:ascii="Gungsuh" w:cs="Gungsuh" w:eastAsia="Gungsuh" w:hAnsi="Gungsuh"/>
          <w:color w:val="ff0000"/>
          <w:sz w:val="20"/>
          <w:szCs w:val="20"/>
          <w:rtl w:val="0"/>
        </w:rPr>
        <w:t xml:space="preserve">（下圖是老金投影片，還可以參考https://welly.tw/digital-marketing/marketing-mix-4p-4c，4C理論強調「以消費者需求為中心 ，更重視顧客導向，以追求顧客滿意為目標。」)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ind w:left="1660" w:firstLine="48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4138613" cy="5391249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38613" cy="539124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ind w:left="2380" w:firstLine="0"/>
        <w:rPr>
          <w:rFonts w:ascii="Times New Roman" w:cs="Times New Roman" w:eastAsia="Times New Roman" w:hAnsi="Times New Roman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ind w:left="1020" w:hanging="20"/>
        <w:rPr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ind w:left="1020" w:hanging="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4.2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Fonts w:ascii="Gungsuh" w:cs="Gungsuh" w:eastAsia="Gungsuh" w:hAnsi="Gungsuh"/>
          <w:sz w:val="24"/>
          <w:szCs w:val="24"/>
          <w:rtl w:val="0"/>
        </w:rPr>
        <w:t xml:space="preserve">創新有效性評估</w:t>
      </w:r>
    </w:p>
    <w:p w:rsidR="00000000" w:rsidDel="00000000" w:rsidP="00000000" w:rsidRDefault="00000000" w:rsidRPr="00000000" w14:paraId="0000000B">
      <w:pPr>
        <w:spacing w:line="360" w:lineRule="auto"/>
        <w:ind w:left="1440" w:hanging="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4.2.1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Gungsuh" w:cs="Gungsuh" w:eastAsia="Gungsuh" w:hAnsi="Gungsuh"/>
          <w:sz w:val="24"/>
          <w:szCs w:val="24"/>
          <w:rtl w:val="0"/>
        </w:rPr>
        <w:t xml:space="preserve">效用</w:t>
      </w:r>
      <w:r w:rsidDel="00000000" w:rsidR="00000000" w:rsidRPr="00000000">
        <w:rPr>
          <w:sz w:val="24"/>
          <w:szCs w:val="24"/>
          <w:rtl w:val="0"/>
        </w:rPr>
        <w:t xml:space="preserve">(V-P)</w:t>
      </w:r>
    </w:p>
    <w:p w:rsidR="00000000" w:rsidDel="00000000" w:rsidP="00000000" w:rsidRDefault="00000000" w:rsidRPr="00000000" w14:paraId="0000000C">
      <w:pPr>
        <w:spacing w:line="360" w:lineRule="auto"/>
        <w:ind w:left="1440" w:hanging="20"/>
        <w:rPr>
          <w:color w:val="ff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4.2.2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Gungsuh" w:cs="Gungsuh" w:eastAsia="Gungsuh" w:hAnsi="Gungsuh"/>
          <w:sz w:val="24"/>
          <w:szCs w:val="24"/>
          <w:rtl w:val="0"/>
        </w:rPr>
        <w:t xml:space="preserve">獲益</w:t>
      </w:r>
      <w:r w:rsidDel="00000000" w:rsidR="00000000" w:rsidRPr="00000000">
        <w:rPr>
          <w:sz w:val="24"/>
          <w:szCs w:val="24"/>
          <w:rtl w:val="0"/>
        </w:rPr>
        <w:t xml:space="preserve">(R-C)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ind w:left="1440" w:hanging="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4.2.3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Gungsuh" w:cs="Gungsuh" w:eastAsia="Gungsuh" w:hAnsi="Gungsuh"/>
          <w:sz w:val="24"/>
          <w:szCs w:val="24"/>
          <w:rtl w:val="0"/>
        </w:rPr>
        <w:t xml:space="preserve">動態循環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Gungsuh" w:cs="Gungsuh" w:eastAsia="Gungsuh" w:hAnsi="Gungsuh"/>
          <w:sz w:val="24"/>
          <w:szCs w:val="24"/>
          <w:rtl w:val="0"/>
        </w:rPr>
        <w:t xml:space="preserve">創新抱負等級</w:t>
      </w:r>
    </w:p>
    <w:p w:rsidR="00000000" w:rsidDel="00000000" w:rsidP="00000000" w:rsidRDefault="00000000" w:rsidRPr="00000000" w14:paraId="0000000E">
      <w:pPr>
        <w:spacing w:line="360" w:lineRule="auto"/>
        <w:ind w:left="2680" w:hanging="70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4.2.3.1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Gungsuh" w:cs="Gungsuh" w:eastAsia="Gungsuh" w:hAnsi="Gungsuh"/>
          <w:sz w:val="24"/>
          <w:szCs w:val="24"/>
          <w:rtl w:val="0"/>
        </w:rPr>
        <w:t xml:space="preserve">第一級創新：顛覆遊戲規則</w:t>
      </w:r>
    </w:p>
    <w:p w:rsidR="00000000" w:rsidDel="00000000" w:rsidP="00000000" w:rsidRDefault="00000000" w:rsidRPr="00000000" w14:paraId="0000000F">
      <w:pPr>
        <w:spacing w:line="360" w:lineRule="auto"/>
        <w:ind w:left="2680" w:hanging="70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4.2.3.2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Gungsuh" w:cs="Gungsuh" w:eastAsia="Gungsuh" w:hAnsi="Gungsuh"/>
          <w:sz w:val="24"/>
          <w:szCs w:val="24"/>
          <w:rtl w:val="0"/>
        </w:rPr>
        <w:t xml:space="preserve">第二級創新：突破產業限制</w:t>
      </w:r>
    </w:p>
    <w:p w:rsidR="00000000" w:rsidDel="00000000" w:rsidP="00000000" w:rsidRDefault="00000000" w:rsidRPr="00000000" w14:paraId="00000010">
      <w:pPr>
        <w:spacing w:line="360" w:lineRule="auto"/>
        <w:ind w:left="2680" w:hanging="70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4.2.3.3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Gungsuh" w:cs="Gungsuh" w:eastAsia="Gungsuh" w:hAnsi="Gungsuh"/>
          <w:sz w:val="24"/>
          <w:szCs w:val="24"/>
          <w:rtl w:val="0"/>
        </w:rPr>
        <w:t xml:space="preserve">第三級創新：改變已知的事，解決問題</w:t>
      </w:r>
      <w:r w:rsidDel="00000000" w:rsidR="00000000" w:rsidRPr="00000000">
        <w:rPr>
          <w:color w:val="ff0000"/>
          <w:sz w:val="24"/>
          <w:szCs w:val="24"/>
        </w:rPr>
        <w:drawing>
          <wp:inline distB="114300" distT="114300" distL="114300" distR="114300">
            <wp:extent cx="2209800" cy="126682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266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ind w:left="2160" w:firstLine="0"/>
        <w:rPr>
          <w:rFonts w:ascii="Times New Roman" w:cs="Times New Roman" w:eastAsia="Times New Roman" w:hAnsi="Times New Roman"/>
          <w:color w:val="ff0000"/>
          <w:sz w:val="24"/>
          <w:szCs w:val="24"/>
          <w:vertAlign w:val="subscript"/>
        </w:rPr>
      </w:pPr>
      <w:r w:rsidDel="00000000" w:rsidR="00000000" w:rsidRPr="00000000">
        <w:rPr>
          <w:rFonts w:ascii="Gungsuh" w:cs="Gungsuh" w:eastAsia="Gungsuh" w:hAnsi="Gungsuh"/>
          <w:color w:val="ff0000"/>
          <w:sz w:val="24"/>
          <w:szCs w:val="24"/>
          <w:rtl w:val="0"/>
        </w:rPr>
        <w:t xml:space="preserve">這邊改變一下阿金的結構，這三個小節我們用原本章節的架構</w:t>
      </w:r>
      <w:r w:rsidDel="00000000" w:rsidR="00000000" w:rsidRPr="00000000">
        <w:rPr>
          <w:rFonts w:ascii="Arial Unicode MS" w:cs="Arial Unicode MS" w:eastAsia="Arial Unicode MS" w:hAnsi="Arial Unicode MS"/>
          <w:color w:val="ff0000"/>
          <w:sz w:val="24"/>
          <w:szCs w:val="24"/>
          <w:rtl w:val="0"/>
        </w:rPr>
        <w:t xml:space="preserve">，參考ver2_CH4_創新診斷與評估-&gt;創新盤點，從三個等級的創新去看他們的V-P（企業端）、R-C（顧客端），注意這邊原來的文章沒有特別去分別討論企業跟顧客兩端，寫的時候篇幅要調整一下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ind w:left="1020" w:hanging="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4.3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Gungsuh" w:cs="Gungsuh" w:eastAsia="Gungsuh" w:hAnsi="Gungsuh"/>
          <w:sz w:val="24"/>
          <w:szCs w:val="24"/>
          <w:rtl w:val="0"/>
        </w:rPr>
        <w:t xml:space="preserve">創新策略</w:t>
      </w:r>
    </w:p>
    <w:p w:rsidR="00000000" w:rsidDel="00000000" w:rsidP="00000000" w:rsidRDefault="00000000" w:rsidRPr="00000000" w14:paraId="00000013">
      <w:pPr>
        <w:spacing w:line="360" w:lineRule="auto"/>
        <w:ind w:left="2160" w:hanging="20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4.3.1  著名成功案例</w:t>
      </w:r>
    </w:p>
    <w:p w:rsidR="00000000" w:rsidDel="00000000" w:rsidP="00000000" w:rsidRDefault="00000000" w:rsidRPr="00000000" w14:paraId="00000014">
      <w:pPr>
        <w:spacing w:line="360" w:lineRule="auto"/>
        <w:ind w:left="2160" w:hanging="20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4.3.2  著名失敗案例</w:t>
      </w:r>
    </w:p>
    <w:p w:rsidR="00000000" w:rsidDel="00000000" w:rsidP="00000000" w:rsidRDefault="00000000" w:rsidRPr="00000000" w14:paraId="00000015">
      <w:pPr>
        <w:spacing w:line="360" w:lineRule="auto"/>
        <w:ind w:left="1020" w:hanging="20"/>
        <w:rPr>
          <w:rFonts w:ascii="Times New Roman" w:cs="Times New Roman" w:eastAsia="Times New Roman" w:hAnsi="Times New Roman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</w:r>
      <w:r w:rsidDel="00000000" w:rsidR="00000000" w:rsidRPr="00000000">
        <w:rPr>
          <w:rFonts w:ascii="Gungsuh" w:cs="Gungsuh" w:eastAsia="Gungsuh" w:hAnsi="Gungsuh"/>
          <w:color w:val="ff0000"/>
          <w:sz w:val="24"/>
          <w:szCs w:val="24"/>
          <w:rtl w:val="0"/>
        </w:rPr>
        <w:t xml:space="preserve">參考</w:t>
      </w:r>
      <w:r w:rsidDel="00000000" w:rsidR="00000000" w:rsidRPr="00000000">
        <w:rPr>
          <w:rFonts w:ascii="Arial Unicode MS" w:cs="Arial Unicode MS" w:eastAsia="Arial Unicode MS" w:hAnsi="Arial Unicode MS"/>
          <w:color w:val="ff0000"/>
          <w:sz w:val="24"/>
          <w:szCs w:val="24"/>
          <w:rtl w:val="0"/>
        </w:rPr>
        <w:t xml:space="preserve">ver2_CH4_創新診斷與評估-&gt;創新有效性評估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ind w:left="1020" w:hanging="20"/>
        <w:jc w:val="center"/>
        <w:rPr>
          <w:rFonts w:ascii="Times New Roman" w:cs="Times New Roman" w:eastAsia="Times New Roman" w:hAnsi="Times New Roman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</w:rPr>
        <w:drawing>
          <wp:inline distB="114300" distT="114300" distL="114300" distR="114300">
            <wp:extent cx="1703893" cy="2205038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03893" cy="22050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ind w:left="1440" w:hanging="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ind w:left="2160" w:hanging="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4.3.3</w:t>
      </w:r>
      <w:r w:rsidDel="00000000" w:rsidR="00000000" w:rsidRPr="00000000">
        <w:rPr>
          <w:rFonts w:ascii="Gungsuh" w:cs="Gungsuh" w:eastAsia="Gungsuh" w:hAnsi="Gungsuh"/>
          <w:sz w:val="24"/>
          <w:szCs w:val="24"/>
          <w:rtl w:val="0"/>
        </w:rPr>
        <w:t xml:space="preserve">  微型創業案例</w:t>
      </w:r>
    </w:p>
    <w:p w:rsidR="00000000" w:rsidDel="00000000" w:rsidP="00000000" w:rsidRDefault="00000000" w:rsidRPr="00000000" w14:paraId="00000019">
      <w:pPr>
        <w:spacing w:before="200" w:line="360" w:lineRule="auto"/>
        <w:ind w:left="2160" w:firstLine="0"/>
        <w:rPr>
          <w:rFonts w:ascii="CG Times" w:cs="CG Times" w:eastAsia="CG Times" w:hAnsi="CG Times"/>
          <w:color w:val="ff0000"/>
          <w:sz w:val="24"/>
          <w:szCs w:val="24"/>
        </w:rPr>
      </w:pPr>
      <w:r w:rsidDel="00000000" w:rsidR="00000000" w:rsidRPr="00000000">
        <w:rPr>
          <w:rFonts w:ascii="CG Times" w:cs="CG Times" w:eastAsia="CG Times" w:hAnsi="CG Times"/>
          <w:color w:val="ff0000"/>
          <w:sz w:val="24"/>
          <w:szCs w:val="24"/>
          <w:rtl w:val="0"/>
        </w:rPr>
        <w:t xml:space="preserve">以你喜歡或很了解的</w:t>
      </w:r>
      <w:r w:rsidDel="00000000" w:rsidR="00000000" w:rsidRPr="00000000">
        <w:rPr>
          <w:rFonts w:ascii="CG Times" w:cs="CG Times" w:eastAsia="CG Times" w:hAnsi="CG Times"/>
          <w:b w:val="1"/>
          <w:color w:val="ff0000"/>
          <w:sz w:val="24"/>
          <w:szCs w:val="24"/>
          <w:rtl w:val="0"/>
        </w:rPr>
        <w:t xml:space="preserve">youtuber</w:t>
      </w:r>
      <w:r w:rsidDel="00000000" w:rsidR="00000000" w:rsidRPr="00000000">
        <w:rPr>
          <w:rFonts w:ascii="CG Times" w:cs="CG Times" w:eastAsia="CG Times" w:hAnsi="CG Times"/>
          <w:color w:val="ff0000"/>
          <w:sz w:val="24"/>
          <w:szCs w:val="24"/>
          <w:rtl w:val="0"/>
        </w:rPr>
        <w:t xml:space="preserve">為例，可以單個youtuber去做介紹，也可以總論一群youtuber的成功因素，</w:t>
      </w:r>
    </w:p>
    <w:p w:rsidR="00000000" w:rsidDel="00000000" w:rsidP="00000000" w:rsidRDefault="00000000" w:rsidRPr="00000000" w14:paraId="0000001A">
      <w:pPr>
        <w:spacing w:before="200" w:line="360" w:lineRule="auto"/>
        <w:ind w:left="2160" w:firstLine="0"/>
        <w:rPr>
          <w:rFonts w:ascii="CG Times" w:cs="CG Times" w:eastAsia="CG Times" w:hAnsi="CG Times"/>
          <w:color w:val="ff0000"/>
          <w:sz w:val="24"/>
          <w:szCs w:val="24"/>
        </w:rPr>
      </w:pPr>
      <w:r w:rsidDel="00000000" w:rsidR="00000000" w:rsidRPr="00000000">
        <w:rPr>
          <w:rFonts w:ascii="CG Times" w:cs="CG Times" w:eastAsia="CG Times" w:hAnsi="CG Times"/>
          <w:color w:val="ff0000"/>
          <w:sz w:val="24"/>
          <w:szCs w:val="24"/>
          <w:rtl w:val="0"/>
        </w:rPr>
        <w:t xml:space="preserve">必須做到：從企業端（再分成VP）、顧客端（分成RC）面向去分析他所帶來的創新</w:t>
      </w:r>
    </w:p>
    <w:p w:rsidR="00000000" w:rsidDel="00000000" w:rsidP="00000000" w:rsidRDefault="00000000" w:rsidRPr="00000000" w14:paraId="0000001B">
      <w:pPr>
        <w:spacing w:before="200" w:line="360" w:lineRule="auto"/>
        <w:ind w:left="2160" w:firstLine="0"/>
        <w:rPr/>
      </w:pPr>
      <w:r w:rsidDel="00000000" w:rsidR="00000000" w:rsidRPr="00000000">
        <w:rPr>
          <w:rFonts w:ascii="CG Times" w:cs="CG Times" w:eastAsia="CG Times" w:hAnsi="CG Times"/>
          <w:color w:val="ff0000"/>
          <w:sz w:val="24"/>
          <w:szCs w:val="24"/>
          <w:rtl w:val="0"/>
        </w:rPr>
        <w:t xml:space="preserve">optional: 三個創新層級（上面的案例都有，但學長姐寫的案例沒有，所以應該有沒有都可以，同樣可參考ver2_ch4）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ungsuh"/>
  <w:font w:name="Arial Unicode MS"/>
  <w:font w:name="CG Time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TW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GTimes-regular.ttf"/><Relationship Id="rId2" Type="http://schemas.openxmlformats.org/officeDocument/2006/relationships/font" Target="fonts/CGTimes-bold.ttf"/><Relationship Id="rId3" Type="http://schemas.openxmlformats.org/officeDocument/2006/relationships/font" Target="fonts/CGTimes-italic.ttf"/><Relationship Id="rId4" Type="http://schemas.openxmlformats.org/officeDocument/2006/relationships/font" Target="fonts/CGTime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